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1D" w:rsidRDefault="00CB7F1D" w:rsidP="00CB7F1D">
      <w:r>
        <w:t>С. 100 упр 1,2 (письменно)</w:t>
      </w:r>
    </w:p>
    <w:p w:rsidR="00CB7F1D" w:rsidRDefault="00CB7F1D" w:rsidP="00CB7F1D">
      <w:r>
        <w:t>С. 102-103 (текст) и упр 4. к тексту</w:t>
      </w:r>
    </w:p>
    <w:p w:rsidR="00CB7F1D" w:rsidRDefault="00CB7F1D" w:rsidP="00CB7F1D">
      <w:r>
        <w:rPr>
          <w:lang w:val="en-US"/>
        </w:rPr>
        <w:t>GR</w:t>
      </w:r>
      <w:r>
        <w:t xml:space="preserve"> 13 «Каузативная форма»</w:t>
      </w:r>
    </w:p>
    <w:p w:rsidR="00000000" w:rsidRDefault="00CB7F1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7F1D"/>
    <w:rsid w:val="00CB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2020-03-12T07:20:00Z</dcterms:created>
  <dcterms:modified xsi:type="dcterms:W3CDTF">2020-03-12T07:20:00Z</dcterms:modified>
</cp:coreProperties>
</file>